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8A11" w14:textId="77777777" w:rsidR="00E43310" w:rsidRPr="008D39C4" w:rsidRDefault="00E43310" w:rsidP="00E43310">
      <w:pPr>
        <w:jc w:val="both"/>
        <w:rPr>
          <w:b/>
          <w:bCs/>
          <w:sz w:val="24"/>
          <w:szCs w:val="24"/>
        </w:rPr>
      </w:pPr>
      <w:r w:rsidRPr="008D39C4">
        <w:rPr>
          <w:b/>
          <w:bCs/>
          <w:sz w:val="24"/>
          <w:szCs w:val="24"/>
        </w:rPr>
        <w:t>Sarasota Green Building Policy</w:t>
      </w:r>
      <w:r>
        <w:rPr>
          <w:b/>
          <w:bCs/>
          <w:sz w:val="24"/>
          <w:szCs w:val="24"/>
        </w:rPr>
        <w:t xml:space="preserve"> - Policy Considerations to Date</w:t>
      </w:r>
    </w:p>
    <w:p w14:paraId="60247B0D" w14:textId="64DEDBB8" w:rsidR="00E43310" w:rsidRPr="00BA4544" w:rsidRDefault="00E43310" w:rsidP="00E43310">
      <w:pPr>
        <w:pStyle w:val="NoSpacing"/>
        <w:jc w:val="both"/>
        <w:rPr>
          <w:sz w:val="20"/>
          <w:szCs w:val="20"/>
        </w:rPr>
      </w:pPr>
      <w:r w:rsidRPr="00BA4544">
        <w:rPr>
          <w:sz w:val="20"/>
          <w:szCs w:val="20"/>
        </w:rPr>
        <w:t>This document details green building policy recommendations for the City of Sarasota. To develop these recommendations, the City</w:t>
      </w:r>
      <w:r w:rsidR="00815B96">
        <w:rPr>
          <w:sz w:val="20"/>
          <w:szCs w:val="20"/>
        </w:rPr>
        <w:t>,</w:t>
      </w:r>
      <w:r>
        <w:rPr>
          <w:sz w:val="20"/>
          <w:szCs w:val="20"/>
        </w:rPr>
        <w:t xml:space="preserve"> in conjunction with</w:t>
      </w:r>
      <w:r w:rsidRPr="00BA4544">
        <w:rPr>
          <w:sz w:val="20"/>
          <w:szCs w:val="20"/>
        </w:rPr>
        <w:t xml:space="preserve"> Southface Institute and Greenlink Analytics reviewed a series of </w:t>
      </w:r>
      <w:r>
        <w:rPr>
          <w:sz w:val="20"/>
          <w:szCs w:val="20"/>
        </w:rPr>
        <w:t xml:space="preserve">potential </w:t>
      </w:r>
      <w:r w:rsidRPr="00BA4544">
        <w:rPr>
          <w:sz w:val="20"/>
          <w:szCs w:val="20"/>
        </w:rPr>
        <w:t xml:space="preserve">policies identified in the City’s request for proposal document, along with </w:t>
      </w:r>
      <w:r>
        <w:rPr>
          <w:sz w:val="20"/>
          <w:szCs w:val="20"/>
        </w:rPr>
        <w:t xml:space="preserve">additional </w:t>
      </w:r>
      <w:r w:rsidRPr="00BA4544">
        <w:rPr>
          <w:sz w:val="20"/>
          <w:szCs w:val="20"/>
        </w:rPr>
        <w:t>materials provided by the City</w:t>
      </w:r>
      <w:r>
        <w:rPr>
          <w:sz w:val="20"/>
          <w:szCs w:val="20"/>
        </w:rPr>
        <w:t xml:space="preserve"> and best practices from similarly situated cities.</w:t>
      </w:r>
    </w:p>
    <w:p w14:paraId="7291897F" w14:textId="77777777" w:rsidR="00E43310" w:rsidRPr="00414867" w:rsidRDefault="00E43310" w:rsidP="00E43310">
      <w:pPr>
        <w:pStyle w:val="NoSpacing"/>
        <w:jc w:val="both"/>
        <w:rPr>
          <w:b/>
          <w:bCs/>
          <w:sz w:val="20"/>
          <w:szCs w:val="20"/>
        </w:rPr>
      </w:pPr>
    </w:p>
    <w:p w14:paraId="5454BCEE" w14:textId="1C920BB1" w:rsidR="00E43310" w:rsidRPr="001B3C11" w:rsidRDefault="000F77D5" w:rsidP="00E43310">
      <w:pPr>
        <w:pStyle w:val="NoSpacing"/>
        <w:jc w:val="both"/>
        <w:rPr>
          <w:b/>
          <w:bCs/>
          <w:i/>
          <w:iCs/>
          <w:sz w:val="24"/>
          <w:szCs w:val="24"/>
        </w:rPr>
      </w:pPr>
      <w:r>
        <w:rPr>
          <w:b/>
          <w:bCs/>
          <w:i/>
          <w:iCs/>
          <w:sz w:val="24"/>
          <w:szCs w:val="24"/>
        </w:rPr>
        <w:t>Building Performance Standard</w:t>
      </w:r>
      <w:r w:rsidR="00705461" w:rsidRPr="00705461">
        <w:rPr>
          <w:b/>
          <w:bCs/>
          <w:i/>
          <w:iCs/>
          <w:sz w:val="24"/>
          <w:szCs w:val="24"/>
        </w:rPr>
        <w:t xml:space="preserve"> </w:t>
      </w:r>
      <w:r w:rsidR="00705461" w:rsidRPr="00061BBB">
        <w:rPr>
          <w:b/>
          <w:bCs/>
          <w:i/>
          <w:iCs/>
          <w:sz w:val="24"/>
          <w:szCs w:val="24"/>
        </w:rPr>
        <w:t xml:space="preserve">(BPS) </w:t>
      </w:r>
      <w:r>
        <w:rPr>
          <w:b/>
          <w:bCs/>
          <w:i/>
          <w:iCs/>
          <w:sz w:val="24"/>
          <w:szCs w:val="24"/>
        </w:rPr>
        <w:t>Phase 1</w:t>
      </w:r>
    </w:p>
    <w:p w14:paraId="51E0D099" w14:textId="2486BEFC" w:rsidR="00E43310" w:rsidRPr="00815B96" w:rsidRDefault="00815B96" w:rsidP="00E43310">
      <w:pPr>
        <w:pStyle w:val="NoSpacing"/>
        <w:jc w:val="both"/>
        <w:rPr>
          <w:color w:val="4472C4" w:themeColor="accent1"/>
        </w:rPr>
      </w:pPr>
      <w:r>
        <w:rPr>
          <w:color w:val="4472C4" w:themeColor="accent1"/>
        </w:rPr>
        <w:t xml:space="preserve">BPS </w:t>
      </w:r>
      <w:r w:rsidR="000F77D5">
        <w:rPr>
          <w:color w:val="4472C4" w:themeColor="accent1"/>
        </w:rPr>
        <w:t xml:space="preserve">phase 1 </w:t>
      </w:r>
      <w:r w:rsidR="00E43310" w:rsidRPr="001B3C11">
        <w:rPr>
          <w:color w:val="4472C4" w:themeColor="accent1"/>
        </w:rPr>
        <w:t xml:space="preserve">measures a building’s energy and water </w:t>
      </w:r>
      <w:r w:rsidR="00E43310">
        <w:rPr>
          <w:color w:val="4472C4" w:themeColor="accent1"/>
        </w:rPr>
        <w:t>performance</w:t>
      </w:r>
      <w:r w:rsidR="00E43310" w:rsidRPr="001B3C11">
        <w:rPr>
          <w:color w:val="4472C4" w:themeColor="accent1"/>
        </w:rPr>
        <w:t xml:space="preserve"> over time</w:t>
      </w:r>
      <w:r w:rsidR="00E43310">
        <w:rPr>
          <w:color w:val="4472C4" w:themeColor="accent1"/>
        </w:rPr>
        <w:t xml:space="preserve"> against similar building nationally, to arrive at a relative score. The data is reported to the city and helps create a more transparent market for users and resident of the building. This will be adopted by a </w:t>
      </w:r>
      <w:r w:rsidR="00E43310" w:rsidRPr="00CC5049">
        <w:rPr>
          <w:b/>
          <w:bCs/>
          <w:color w:val="4472C4" w:themeColor="accent1"/>
        </w:rPr>
        <w:t>phased in approach over the next 5 years</w:t>
      </w:r>
      <w:r>
        <w:rPr>
          <w:b/>
          <w:bCs/>
          <w:color w:val="4472C4" w:themeColor="accent1"/>
        </w:rPr>
        <w:t xml:space="preserve"> </w:t>
      </w:r>
      <w:r>
        <w:rPr>
          <w:color w:val="4472C4" w:themeColor="accent1"/>
        </w:rPr>
        <w:t xml:space="preserve">and will start with larger buildings first and expand to buildings with smaller footprints second. </w:t>
      </w:r>
    </w:p>
    <w:p w14:paraId="38AF6B21" w14:textId="77777777" w:rsidR="00E43310" w:rsidRPr="001B3C11" w:rsidRDefault="00E43310" w:rsidP="00E43310">
      <w:pPr>
        <w:pStyle w:val="NoSpacing"/>
        <w:jc w:val="both"/>
        <w:rPr>
          <w:i/>
          <w:iCs/>
          <w:color w:val="4472C4" w:themeColor="accent1"/>
          <w:sz w:val="24"/>
          <w:szCs w:val="24"/>
        </w:rPr>
      </w:pPr>
    </w:p>
    <w:p w14:paraId="3CAD99E5" w14:textId="28651A33" w:rsidR="00E43310" w:rsidRDefault="00E43310" w:rsidP="00E43310">
      <w:pPr>
        <w:pStyle w:val="NoSpacing"/>
        <w:jc w:val="both"/>
        <w:rPr>
          <w:sz w:val="20"/>
          <w:szCs w:val="20"/>
        </w:rPr>
      </w:pPr>
      <w:r w:rsidRPr="00414867">
        <w:rPr>
          <w:b/>
          <w:bCs/>
          <w:sz w:val="20"/>
          <w:szCs w:val="20"/>
        </w:rPr>
        <w:t>Sector Affected:</w:t>
      </w:r>
      <w:r w:rsidRPr="00414867">
        <w:rPr>
          <w:sz w:val="20"/>
          <w:szCs w:val="20"/>
        </w:rPr>
        <w:t xml:space="preserve"> Commercial/ Existing Buildings</w:t>
      </w:r>
      <w:r w:rsidR="00815B96">
        <w:rPr>
          <w:sz w:val="20"/>
          <w:szCs w:val="20"/>
        </w:rPr>
        <w:t xml:space="preserve"> larger than 25,000 ft sq</w:t>
      </w:r>
    </w:p>
    <w:p w14:paraId="6F50B609" w14:textId="77777777" w:rsidR="00E43310" w:rsidRDefault="00E43310" w:rsidP="00E43310">
      <w:pPr>
        <w:pStyle w:val="NoSpacing"/>
        <w:numPr>
          <w:ilvl w:val="0"/>
          <w:numId w:val="3"/>
        </w:numPr>
        <w:jc w:val="both"/>
        <w:rPr>
          <w:sz w:val="20"/>
          <w:szCs w:val="20"/>
        </w:rPr>
      </w:pPr>
      <w:r>
        <w:rPr>
          <w:sz w:val="20"/>
          <w:szCs w:val="20"/>
        </w:rPr>
        <w:t>ENERGY STAR Portfolio Manager is the nationally recognized standard and widely used tool for tracking building energy performance</w:t>
      </w:r>
    </w:p>
    <w:p w14:paraId="066463FF" w14:textId="77777777" w:rsidR="00E43310" w:rsidRDefault="00E43310" w:rsidP="00E43310">
      <w:pPr>
        <w:pStyle w:val="NoSpacing"/>
        <w:numPr>
          <w:ilvl w:val="0"/>
          <w:numId w:val="3"/>
        </w:numPr>
        <w:jc w:val="both"/>
        <w:rPr>
          <w:sz w:val="20"/>
          <w:szCs w:val="20"/>
        </w:rPr>
      </w:pPr>
      <w:r>
        <w:rPr>
          <w:sz w:val="20"/>
          <w:szCs w:val="20"/>
        </w:rPr>
        <w:t>Many building management teams already utilize ENERGY STAR Portfolio Manager</w:t>
      </w:r>
    </w:p>
    <w:p w14:paraId="545CD054" w14:textId="77777777" w:rsidR="00E43310" w:rsidRDefault="00E43310" w:rsidP="00E43310">
      <w:pPr>
        <w:pStyle w:val="NoSpacing"/>
        <w:numPr>
          <w:ilvl w:val="0"/>
          <w:numId w:val="3"/>
        </w:numPr>
        <w:jc w:val="both"/>
        <w:rPr>
          <w:sz w:val="20"/>
          <w:szCs w:val="20"/>
        </w:rPr>
      </w:pPr>
      <w:r w:rsidRPr="00EF29E3">
        <w:rPr>
          <w:noProof/>
          <w:sz w:val="20"/>
          <w:szCs w:val="20"/>
        </w:rPr>
        <w:drawing>
          <wp:anchor distT="0" distB="0" distL="114300" distR="114300" simplePos="0" relativeHeight="251659264" behindDoc="0" locked="0" layoutInCell="1" allowOverlap="1" wp14:anchorId="7961041D" wp14:editId="19E7B6B6">
            <wp:simplePos x="0" y="0"/>
            <wp:positionH relativeFrom="column">
              <wp:posOffset>-8117</wp:posOffset>
            </wp:positionH>
            <wp:positionV relativeFrom="paragraph">
              <wp:posOffset>553223</wp:posOffset>
            </wp:positionV>
            <wp:extent cx="5943600" cy="1059180"/>
            <wp:effectExtent l="0" t="0" r="0" b="7620"/>
            <wp:wrapTopAndBottom/>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059180"/>
                    </a:xfrm>
                    <a:prstGeom prst="rect">
                      <a:avLst/>
                    </a:prstGeom>
                  </pic:spPr>
                </pic:pic>
              </a:graphicData>
            </a:graphic>
          </wp:anchor>
        </w:drawing>
      </w:r>
      <w:r>
        <w:rPr>
          <w:sz w:val="20"/>
          <w:szCs w:val="20"/>
        </w:rPr>
        <w:t>Reporting provides City staff with full picture of energy consumption in its commercial building stock, identifying information essential for drafting policies and programs to drive energy savings in buildings for the future</w:t>
      </w:r>
    </w:p>
    <w:p w14:paraId="3CDFDCE8" w14:textId="77777777" w:rsidR="00705461" w:rsidRDefault="00705461" w:rsidP="00705461">
      <w:pPr>
        <w:pStyle w:val="NoSpacing"/>
        <w:jc w:val="both"/>
        <w:rPr>
          <w:b/>
          <w:bCs/>
          <w:i/>
          <w:iCs/>
          <w:sz w:val="24"/>
          <w:szCs w:val="24"/>
        </w:rPr>
      </w:pPr>
    </w:p>
    <w:p w14:paraId="67209472" w14:textId="4275D101" w:rsidR="00705461" w:rsidRPr="001B3C11" w:rsidRDefault="00705461" w:rsidP="00705461">
      <w:pPr>
        <w:pStyle w:val="NoSpacing"/>
        <w:jc w:val="both"/>
        <w:rPr>
          <w:b/>
          <w:bCs/>
          <w:i/>
          <w:iCs/>
          <w:sz w:val="24"/>
          <w:szCs w:val="24"/>
        </w:rPr>
      </w:pPr>
      <w:r w:rsidRPr="00061BBB">
        <w:rPr>
          <w:b/>
          <w:bCs/>
          <w:i/>
          <w:iCs/>
          <w:sz w:val="24"/>
          <w:szCs w:val="24"/>
        </w:rPr>
        <w:t>Building Performance Standard</w:t>
      </w:r>
      <w:r>
        <w:rPr>
          <w:b/>
          <w:bCs/>
          <w:i/>
          <w:iCs/>
          <w:sz w:val="24"/>
          <w:szCs w:val="24"/>
        </w:rPr>
        <w:t xml:space="preserve"> Phase 2</w:t>
      </w:r>
      <w:r w:rsidRPr="00061BBB">
        <w:rPr>
          <w:b/>
          <w:bCs/>
          <w:i/>
          <w:iCs/>
          <w:sz w:val="24"/>
          <w:szCs w:val="24"/>
        </w:rPr>
        <w:t xml:space="preserve"> </w:t>
      </w:r>
    </w:p>
    <w:p w14:paraId="67EBC7B5" w14:textId="77777777" w:rsidR="00705461" w:rsidRPr="001B3C11" w:rsidRDefault="00705461" w:rsidP="00705461">
      <w:pPr>
        <w:pStyle w:val="NoSpacing"/>
        <w:jc w:val="both"/>
        <w:rPr>
          <w:color w:val="4472C4" w:themeColor="accent1"/>
          <w:sz w:val="20"/>
          <w:szCs w:val="20"/>
        </w:rPr>
      </w:pPr>
      <w:r w:rsidRPr="001B3C11">
        <w:rPr>
          <w:color w:val="4472C4" w:themeColor="accent1"/>
        </w:rPr>
        <w:t xml:space="preserve">Sets building </w:t>
      </w:r>
      <w:r>
        <w:rPr>
          <w:color w:val="4472C4" w:themeColor="accent1"/>
        </w:rPr>
        <w:t xml:space="preserve">energy performance </w:t>
      </w:r>
      <w:r w:rsidRPr="001B3C11">
        <w:rPr>
          <w:color w:val="4472C4" w:themeColor="accent1"/>
        </w:rPr>
        <w:t xml:space="preserve">improvement </w:t>
      </w:r>
      <w:r>
        <w:rPr>
          <w:color w:val="4472C4" w:themeColor="accent1"/>
        </w:rPr>
        <w:t>targets</w:t>
      </w:r>
      <w:r w:rsidRPr="001B3C11">
        <w:rPr>
          <w:color w:val="4472C4" w:themeColor="accent1"/>
        </w:rPr>
        <w:t xml:space="preserve"> for existing buildings </w:t>
      </w:r>
      <w:r w:rsidRPr="004C1B25">
        <w:rPr>
          <w:color w:val="4472C4" w:themeColor="accent1"/>
        </w:rPr>
        <w:t>to</w:t>
      </w:r>
      <w:r w:rsidRPr="001B3C11">
        <w:rPr>
          <w:color w:val="4472C4" w:themeColor="accent1"/>
        </w:rPr>
        <w:t xml:space="preserve"> reduce carbon emissions</w:t>
      </w:r>
    </w:p>
    <w:p w14:paraId="5B5952FA" w14:textId="77777777" w:rsidR="00705461" w:rsidRDefault="00705461" w:rsidP="00705461">
      <w:pPr>
        <w:pStyle w:val="NoSpacing"/>
        <w:jc w:val="both"/>
        <w:rPr>
          <w:sz w:val="20"/>
          <w:szCs w:val="20"/>
        </w:rPr>
      </w:pPr>
      <w:r w:rsidRPr="005E0F74">
        <w:rPr>
          <w:b/>
          <w:bCs/>
          <w:sz w:val="20"/>
          <w:szCs w:val="20"/>
        </w:rPr>
        <w:t>Sector Affected:</w:t>
      </w:r>
      <w:r w:rsidRPr="005E0F74">
        <w:rPr>
          <w:sz w:val="20"/>
          <w:szCs w:val="20"/>
        </w:rPr>
        <w:t xml:space="preserve"> Commercial/ Existing Buildings </w:t>
      </w:r>
    </w:p>
    <w:p w14:paraId="0CD13410" w14:textId="77777777" w:rsidR="00705461" w:rsidRDefault="00705461" w:rsidP="00705461">
      <w:pPr>
        <w:pStyle w:val="NoSpacing"/>
        <w:jc w:val="both"/>
        <w:rPr>
          <w:sz w:val="20"/>
          <w:szCs w:val="20"/>
        </w:rPr>
      </w:pPr>
    </w:p>
    <w:p w14:paraId="50C70B39" w14:textId="77777777" w:rsidR="00705461" w:rsidRDefault="00705461" w:rsidP="00705461">
      <w:pPr>
        <w:pStyle w:val="NoSpacing"/>
        <w:numPr>
          <w:ilvl w:val="0"/>
          <w:numId w:val="4"/>
        </w:numPr>
        <w:jc w:val="both"/>
        <w:rPr>
          <w:sz w:val="20"/>
          <w:szCs w:val="20"/>
        </w:rPr>
      </w:pPr>
      <w:r>
        <w:rPr>
          <w:sz w:val="20"/>
          <w:szCs w:val="20"/>
        </w:rPr>
        <w:t>BPS standards are set and informed using energy data</w:t>
      </w:r>
    </w:p>
    <w:p w14:paraId="7F06797F" w14:textId="77777777" w:rsidR="00705461" w:rsidRDefault="00705461" w:rsidP="00705461">
      <w:pPr>
        <w:pStyle w:val="NoSpacing"/>
        <w:numPr>
          <w:ilvl w:val="0"/>
          <w:numId w:val="4"/>
        </w:numPr>
        <w:jc w:val="both"/>
        <w:rPr>
          <w:sz w:val="20"/>
          <w:szCs w:val="20"/>
        </w:rPr>
      </w:pPr>
      <w:r>
        <w:rPr>
          <w:sz w:val="20"/>
          <w:szCs w:val="20"/>
        </w:rPr>
        <w:t xml:space="preserve">Efficiency requirements can be set through a prescribed energy use intensity or ENERGY STAR score </w:t>
      </w:r>
    </w:p>
    <w:p w14:paraId="366FFDA4" w14:textId="77777777" w:rsidR="00705461" w:rsidRDefault="00705461" w:rsidP="00705461">
      <w:pPr>
        <w:pStyle w:val="NoSpacing"/>
        <w:numPr>
          <w:ilvl w:val="0"/>
          <w:numId w:val="4"/>
        </w:numPr>
        <w:jc w:val="both"/>
        <w:rPr>
          <w:sz w:val="20"/>
          <w:szCs w:val="20"/>
        </w:rPr>
      </w:pPr>
      <w:r>
        <w:rPr>
          <w:sz w:val="20"/>
          <w:szCs w:val="20"/>
        </w:rPr>
        <w:t>Multiple standards can target different sizes and types and building performance thereby avoiding undue financial impacts</w:t>
      </w:r>
    </w:p>
    <w:p w14:paraId="016243D7" w14:textId="77777777" w:rsidR="00705461" w:rsidRDefault="00705461" w:rsidP="00705461">
      <w:pPr>
        <w:pStyle w:val="NoSpacing"/>
        <w:numPr>
          <w:ilvl w:val="0"/>
          <w:numId w:val="4"/>
        </w:numPr>
        <w:jc w:val="both"/>
        <w:rPr>
          <w:sz w:val="20"/>
          <w:szCs w:val="20"/>
        </w:rPr>
      </w:pPr>
      <w:r>
        <w:rPr>
          <w:sz w:val="20"/>
          <w:szCs w:val="20"/>
        </w:rPr>
        <w:t xml:space="preserve">Requires buildings to achieve performance improvements by specific dates relative to their tracked performance </w:t>
      </w:r>
    </w:p>
    <w:p w14:paraId="31D1389E" w14:textId="77777777" w:rsidR="00705461" w:rsidRDefault="00705461" w:rsidP="00705461">
      <w:pPr>
        <w:pStyle w:val="NoSpacing"/>
        <w:numPr>
          <w:ilvl w:val="0"/>
          <w:numId w:val="4"/>
        </w:numPr>
        <w:jc w:val="both"/>
        <w:rPr>
          <w:sz w:val="20"/>
          <w:szCs w:val="20"/>
        </w:rPr>
      </w:pPr>
      <w:r>
        <w:rPr>
          <w:sz w:val="20"/>
          <w:szCs w:val="20"/>
        </w:rPr>
        <w:t>BPS is best implemented after many years of good data collection.</w:t>
      </w:r>
    </w:p>
    <w:p w14:paraId="07B1042E" w14:textId="77777777" w:rsidR="00E43310" w:rsidRPr="00835AEF" w:rsidRDefault="00E43310" w:rsidP="00E43310">
      <w:pPr>
        <w:pStyle w:val="NoSpacing"/>
        <w:ind w:left="720"/>
        <w:jc w:val="both"/>
        <w:rPr>
          <w:sz w:val="20"/>
          <w:szCs w:val="20"/>
        </w:rPr>
      </w:pPr>
    </w:p>
    <w:p w14:paraId="2CFA0E23" w14:textId="77777777" w:rsidR="00E43310" w:rsidRPr="00061BBB" w:rsidRDefault="00E43310" w:rsidP="00E43310">
      <w:pPr>
        <w:pStyle w:val="NoSpacing"/>
        <w:jc w:val="both"/>
        <w:rPr>
          <w:b/>
          <w:bCs/>
          <w:i/>
          <w:iCs/>
        </w:rPr>
      </w:pPr>
    </w:p>
    <w:p w14:paraId="0FFD1BC0" w14:textId="77777777" w:rsidR="00E43310" w:rsidRPr="001B3C11" w:rsidRDefault="00E43310" w:rsidP="00E43310">
      <w:pPr>
        <w:pStyle w:val="NoSpacing"/>
        <w:jc w:val="both"/>
        <w:rPr>
          <w:b/>
          <w:bCs/>
          <w:i/>
          <w:iCs/>
          <w:sz w:val="24"/>
          <w:szCs w:val="24"/>
        </w:rPr>
      </w:pPr>
      <w:r w:rsidRPr="00061BBB">
        <w:rPr>
          <w:b/>
          <w:bCs/>
          <w:i/>
          <w:iCs/>
          <w:sz w:val="24"/>
          <w:szCs w:val="24"/>
        </w:rPr>
        <w:t xml:space="preserve">Time of Lease + Time of Sale Energy Performance Disclosure </w:t>
      </w:r>
    </w:p>
    <w:p w14:paraId="7C1E4FB7" w14:textId="77777777" w:rsidR="00E43310" w:rsidRPr="001B3C11" w:rsidRDefault="00E43310" w:rsidP="00E43310">
      <w:pPr>
        <w:pStyle w:val="NoSpacing"/>
        <w:jc w:val="both"/>
        <w:rPr>
          <w:color w:val="4472C4" w:themeColor="accent1"/>
        </w:rPr>
      </w:pPr>
      <w:r w:rsidRPr="001B3C11">
        <w:rPr>
          <w:color w:val="4472C4" w:themeColor="accent1"/>
        </w:rPr>
        <w:t xml:space="preserve">Requires owners of commercial and/or residential buildings to provide energy performance data at the time of lease and time of sale </w:t>
      </w:r>
    </w:p>
    <w:p w14:paraId="31E51DD0" w14:textId="70ACA8AB" w:rsidR="00E43310" w:rsidRDefault="00E43310" w:rsidP="00E43310">
      <w:pPr>
        <w:pStyle w:val="NoSpacing"/>
        <w:jc w:val="both"/>
        <w:rPr>
          <w:sz w:val="20"/>
          <w:szCs w:val="20"/>
        </w:rPr>
      </w:pPr>
      <w:r w:rsidRPr="00941973">
        <w:rPr>
          <w:b/>
          <w:bCs/>
          <w:sz w:val="20"/>
          <w:szCs w:val="20"/>
        </w:rPr>
        <w:t>Sector Affected:</w:t>
      </w:r>
      <w:r w:rsidRPr="00941973">
        <w:rPr>
          <w:sz w:val="20"/>
          <w:szCs w:val="20"/>
        </w:rPr>
        <w:t xml:space="preserve"> Residential</w:t>
      </w:r>
      <w:r>
        <w:rPr>
          <w:sz w:val="20"/>
          <w:szCs w:val="20"/>
        </w:rPr>
        <w:t>/Commercial</w:t>
      </w:r>
      <w:r w:rsidRPr="00941973">
        <w:rPr>
          <w:sz w:val="20"/>
          <w:szCs w:val="20"/>
        </w:rPr>
        <w:t>- Existing Buildings</w:t>
      </w:r>
      <w:r w:rsidR="00815B96">
        <w:rPr>
          <w:sz w:val="20"/>
          <w:szCs w:val="20"/>
        </w:rPr>
        <w:t xml:space="preserve"> of all sizes</w:t>
      </w:r>
    </w:p>
    <w:p w14:paraId="3DB571A1" w14:textId="77777777" w:rsidR="00E43310" w:rsidRPr="00941973" w:rsidRDefault="00E43310" w:rsidP="00E43310">
      <w:pPr>
        <w:pStyle w:val="NoSpacing"/>
        <w:jc w:val="both"/>
        <w:rPr>
          <w:sz w:val="20"/>
          <w:szCs w:val="20"/>
        </w:rPr>
      </w:pPr>
    </w:p>
    <w:p w14:paraId="74D508BF" w14:textId="77777777" w:rsidR="00E43310" w:rsidRDefault="00E43310" w:rsidP="00E43310">
      <w:pPr>
        <w:pStyle w:val="NoSpacing"/>
        <w:numPr>
          <w:ilvl w:val="0"/>
          <w:numId w:val="1"/>
        </w:numPr>
        <w:jc w:val="both"/>
        <w:rPr>
          <w:sz w:val="20"/>
          <w:szCs w:val="20"/>
        </w:rPr>
      </w:pPr>
      <w:r>
        <w:rPr>
          <w:sz w:val="20"/>
          <w:szCs w:val="20"/>
        </w:rPr>
        <w:t xml:space="preserve">Disclosures may come in the form of an ENERGY STAR score, Home Energy Rating System (HERS) rating, or other metric that informs potential future renters and owners of the building’s energy and performance </w:t>
      </w:r>
    </w:p>
    <w:p w14:paraId="2BBD90BB" w14:textId="77777777" w:rsidR="00E43310" w:rsidRDefault="00E43310" w:rsidP="00E43310">
      <w:pPr>
        <w:pStyle w:val="NoSpacing"/>
        <w:numPr>
          <w:ilvl w:val="0"/>
          <w:numId w:val="1"/>
        </w:numPr>
        <w:jc w:val="both"/>
        <w:rPr>
          <w:sz w:val="20"/>
          <w:szCs w:val="20"/>
        </w:rPr>
      </w:pPr>
      <w:r>
        <w:rPr>
          <w:sz w:val="20"/>
          <w:szCs w:val="20"/>
        </w:rPr>
        <w:t>Creates market transparency for total cost of building operations</w:t>
      </w:r>
    </w:p>
    <w:p w14:paraId="38142FE7" w14:textId="46816A15" w:rsidR="00E43310" w:rsidRPr="00705461" w:rsidRDefault="00E43310" w:rsidP="00E43310">
      <w:pPr>
        <w:pStyle w:val="NoSpacing"/>
        <w:numPr>
          <w:ilvl w:val="0"/>
          <w:numId w:val="1"/>
        </w:numPr>
        <w:jc w:val="both"/>
        <w:rPr>
          <w:sz w:val="20"/>
          <w:szCs w:val="20"/>
        </w:rPr>
      </w:pPr>
      <w:r w:rsidRPr="00705461">
        <w:rPr>
          <w:sz w:val="20"/>
          <w:szCs w:val="20"/>
        </w:rPr>
        <w:t>Builds on energy disclosure system already present in residential real estate transactions</w:t>
      </w:r>
    </w:p>
    <w:sectPr w:rsidR="00E43310" w:rsidRPr="00705461" w:rsidSect="00CC5049">
      <w:headerReference w:type="default" r:id="rId8"/>
      <w:footerReference w:type="default" r:id="rId9"/>
      <w:pgSz w:w="12240" w:h="15840"/>
      <w:pgMar w:top="1440" w:right="1440" w:bottom="1170" w:left="144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A9C6" w14:textId="77777777" w:rsidR="00E43310" w:rsidRDefault="00E43310" w:rsidP="00E43310">
      <w:pPr>
        <w:spacing w:after="0" w:line="240" w:lineRule="auto"/>
      </w:pPr>
      <w:r>
        <w:separator/>
      </w:r>
    </w:p>
  </w:endnote>
  <w:endnote w:type="continuationSeparator" w:id="0">
    <w:p w14:paraId="31A8E5D9" w14:textId="77777777" w:rsidR="00E43310" w:rsidRDefault="00E43310" w:rsidP="00E4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79B8" w14:textId="77777777" w:rsidR="00236DE6" w:rsidRDefault="0081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541F" w14:textId="77777777" w:rsidR="00E43310" w:rsidRDefault="00E43310" w:rsidP="00E43310">
      <w:pPr>
        <w:spacing w:after="0" w:line="240" w:lineRule="auto"/>
      </w:pPr>
      <w:r>
        <w:separator/>
      </w:r>
    </w:p>
  </w:footnote>
  <w:footnote w:type="continuationSeparator" w:id="0">
    <w:p w14:paraId="3A699D2D" w14:textId="77777777" w:rsidR="00E43310" w:rsidRDefault="00E43310" w:rsidP="00E4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A49" w14:textId="77777777" w:rsidR="006B1E8F" w:rsidRDefault="00815B96" w:rsidP="00CC5049">
    <w:pPr>
      <w:pStyle w:val="Header"/>
      <w:tabs>
        <w:tab w:val="right" w:pos="6639"/>
      </w:tabs>
      <w:jc w:val="both"/>
    </w:pPr>
    <w:r>
      <w:rPr>
        <w:noProof/>
        <w:color w:val="4472C4" w:themeColor="accent1"/>
      </w:rPr>
      <w:drawing>
        <wp:anchor distT="0" distB="0" distL="114300" distR="114300" simplePos="0" relativeHeight="251660288" behindDoc="0" locked="0" layoutInCell="1" allowOverlap="1" wp14:anchorId="72922C32" wp14:editId="6CB674AB">
          <wp:simplePos x="0" y="0"/>
          <wp:positionH relativeFrom="column">
            <wp:posOffset>-31750</wp:posOffset>
          </wp:positionH>
          <wp:positionV relativeFrom="paragraph">
            <wp:posOffset>-228600</wp:posOffset>
          </wp:positionV>
          <wp:extent cx="503555" cy="622300"/>
          <wp:effectExtent l="0" t="0" r="0" b="635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3555" cy="622300"/>
                  </a:xfrm>
                  <a:prstGeom prst="rect">
                    <a:avLst/>
                  </a:prstGeom>
                </pic:spPr>
              </pic:pic>
            </a:graphicData>
          </a:graphic>
        </wp:anchor>
      </w:drawing>
    </w:r>
    <w:r>
      <w:rPr>
        <w:noProof/>
      </w:rPr>
      <w:drawing>
        <wp:anchor distT="0" distB="0" distL="114300" distR="114300" simplePos="0" relativeHeight="251659264" behindDoc="1" locked="0" layoutInCell="1" allowOverlap="1" wp14:anchorId="2EA6C3BA" wp14:editId="4EAF76EF">
          <wp:simplePos x="0" y="0"/>
          <wp:positionH relativeFrom="column">
            <wp:posOffset>4521200</wp:posOffset>
          </wp:positionH>
          <wp:positionV relativeFrom="paragraph">
            <wp:posOffset>-140970</wp:posOffset>
          </wp:positionV>
          <wp:extent cx="1619250" cy="477520"/>
          <wp:effectExtent l="0" t="0" r="0" b="0"/>
          <wp:wrapTight wrapText="bothSides">
            <wp:wrapPolygon edited="0">
              <wp:start x="1271" y="1723"/>
              <wp:lineTo x="254" y="8617"/>
              <wp:lineTo x="1016" y="16372"/>
              <wp:lineTo x="12198" y="17234"/>
              <wp:lineTo x="12198" y="20681"/>
              <wp:lineTo x="20838" y="20681"/>
              <wp:lineTo x="21092" y="6894"/>
              <wp:lineTo x="16518" y="3447"/>
              <wp:lineTo x="4066" y="1723"/>
              <wp:lineTo x="1271" y="1723"/>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9250" cy="477520"/>
                  </a:xfrm>
                  <a:prstGeom prst="rect">
                    <a:avLst/>
                  </a:prstGeom>
                </pic:spPr>
              </pic:pic>
            </a:graphicData>
          </a:graphic>
        </wp:anchor>
      </w:drawing>
    </w:r>
    <w:r>
      <w:t xml:space="preserve">        </w:t>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8D5"/>
    <w:multiLevelType w:val="hybridMultilevel"/>
    <w:tmpl w:val="5776B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25273"/>
    <w:multiLevelType w:val="hybridMultilevel"/>
    <w:tmpl w:val="B5F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60260"/>
    <w:multiLevelType w:val="hybridMultilevel"/>
    <w:tmpl w:val="A7F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840EA"/>
    <w:multiLevelType w:val="hybridMultilevel"/>
    <w:tmpl w:val="129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108444">
    <w:abstractNumId w:val="3"/>
  </w:num>
  <w:num w:numId="2" w16cid:durableId="429739204">
    <w:abstractNumId w:val="0"/>
  </w:num>
  <w:num w:numId="3" w16cid:durableId="1283341130">
    <w:abstractNumId w:val="2"/>
  </w:num>
  <w:num w:numId="4" w16cid:durableId="135194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0"/>
    <w:rsid w:val="000F77D5"/>
    <w:rsid w:val="00614001"/>
    <w:rsid w:val="00705461"/>
    <w:rsid w:val="00734705"/>
    <w:rsid w:val="00815B96"/>
    <w:rsid w:val="009A714A"/>
    <w:rsid w:val="00C068D0"/>
    <w:rsid w:val="00E4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345A"/>
  <w15:chartTrackingRefBased/>
  <w15:docId w15:val="{AD7957AE-41BB-49FF-BB1E-410F9F9C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310"/>
    <w:pPr>
      <w:spacing w:after="0" w:line="240" w:lineRule="auto"/>
    </w:pPr>
  </w:style>
  <w:style w:type="character" w:styleId="Hyperlink">
    <w:name w:val="Hyperlink"/>
    <w:basedOn w:val="DefaultParagraphFont"/>
    <w:uiPriority w:val="99"/>
    <w:unhideWhenUsed/>
    <w:rsid w:val="00E43310"/>
    <w:rPr>
      <w:color w:val="0000FF"/>
      <w:u w:val="single"/>
    </w:rPr>
  </w:style>
  <w:style w:type="paragraph" w:styleId="FootnoteText">
    <w:name w:val="footnote text"/>
    <w:basedOn w:val="Normal"/>
    <w:link w:val="FootnoteTextChar"/>
    <w:uiPriority w:val="99"/>
    <w:unhideWhenUsed/>
    <w:rsid w:val="00E43310"/>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rsid w:val="00E43310"/>
    <w:rPr>
      <w:rFonts w:eastAsiaTheme="minorEastAsia"/>
      <w:sz w:val="20"/>
      <w:szCs w:val="20"/>
      <w:lang w:eastAsia="zh-TW"/>
    </w:rPr>
  </w:style>
  <w:style w:type="character" w:styleId="FootnoteReference">
    <w:name w:val="footnote reference"/>
    <w:basedOn w:val="DefaultParagraphFont"/>
    <w:uiPriority w:val="99"/>
    <w:unhideWhenUsed/>
    <w:rsid w:val="00E43310"/>
    <w:rPr>
      <w:vertAlign w:val="superscript"/>
    </w:rPr>
  </w:style>
  <w:style w:type="paragraph" w:styleId="Header">
    <w:name w:val="header"/>
    <w:basedOn w:val="Normal"/>
    <w:link w:val="HeaderChar"/>
    <w:uiPriority w:val="99"/>
    <w:unhideWhenUsed/>
    <w:rsid w:val="00E4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10"/>
  </w:style>
  <w:style w:type="paragraph" w:styleId="Footer">
    <w:name w:val="footer"/>
    <w:basedOn w:val="Normal"/>
    <w:link w:val="FooterChar"/>
    <w:uiPriority w:val="99"/>
    <w:unhideWhenUsed/>
    <w:rsid w:val="00E4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10"/>
  </w:style>
  <w:style w:type="table" w:styleId="GridTable4-Accent4">
    <w:name w:val="Grid Table 4 Accent 4"/>
    <w:basedOn w:val="TableNormal"/>
    <w:uiPriority w:val="49"/>
    <w:rsid w:val="00E43310"/>
    <w:pPr>
      <w:spacing w:after="0" w:line="240" w:lineRule="auto"/>
    </w:pPr>
    <w:rPr>
      <w:rFonts w:eastAsiaTheme="minorEastAsia"/>
      <w:lang w:eastAsia="zh-TW"/>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E43310"/>
    <w:pPr>
      <w:spacing w:after="0" w:line="240" w:lineRule="auto"/>
    </w:pPr>
    <w:rPr>
      <w:rFonts w:eastAsiaTheme="minorEastAsia"/>
      <w:lang w:eastAsia="zh-TW"/>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Vredenburg</dc:creator>
  <cp:keywords/>
  <dc:description/>
  <cp:lastModifiedBy>Jeffrey Vredenburg</cp:lastModifiedBy>
  <cp:revision>4</cp:revision>
  <cp:lastPrinted>2022-06-15T20:28:00Z</cp:lastPrinted>
  <dcterms:created xsi:type="dcterms:W3CDTF">2022-06-15T20:24:00Z</dcterms:created>
  <dcterms:modified xsi:type="dcterms:W3CDTF">2022-06-15T20:37:00Z</dcterms:modified>
</cp:coreProperties>
</file>